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FE" w:rsidRDefault="00A913FE">
      <w:r>
        <w:t>US History Biographies Unit 11</w:t>
      </w:r>
    </w:p>
    <w:tbl>
      <w:tblPr>
        <w:tblStyle w:val="TableGrid"/>
        <w:tblW w:w="0" w:type="auto"/>
        <w:tblLook w:val="04A0"/>
      </w:tblPr>
      <w:tblGrid>
        <w:gridCol w:w="2054"/>
        <w:gridCol w:w="2836"/>
        <w:gridCol w:w="4686"/>
      </w:tblGrid>
      <w:tr w:rsidR="00A913FE" w:rsidRPr="003A1340" w:rsidTr="00A913FE">
        <w:tc>
          <w:tcPr>
            <w:tcW w:w="9576" w:type="dxa"/>
            <w:gridSpan w:val="3"/>
          </w:tcPr>
          <w:p w:rsidR="00A913FE" w:rsidRPr="00A913FE" w:rsidRDefault="00A913FE" w:rsidP="0080687F">
            <w:pPr>
              <w:jc w:val="center"/>
              <w:rPr>
                <w:rFonts w:cstheme="minorHAnsi"/>
                <w:b/>
              </w:rPr>
            </w:pPr>
            <w:r w:rsidRPr="00A913FE">
              <w:rPr>
                <w:rFonts w:cstheme="minorHAnsi"/>
                <w:b/>
              </w:rPr>
              <w:t>US History Biographies</w:t>
            </w:r>
          </w:p>
        </w:tc>
      </w:tr>
      <w:tr w:rsidR="00A913FE" w:rsidRPr="003A1340" w:rsidTr="00A913FE">
        <w:tc>
          <w:tcPr>
            <w:tcW w:w="2054" w:type="dxa"/>
          </w:tcPr>
          <w:p w:rsidR="00A913FE" w:rsidRPr="00A913FE" w:rsidRDefault="00A913FE" w:rsidP="0080687F">
            <w:pPr>
              <w:jc w:val="center"/>
              <w:rPr>
                <w:rFonts w:cstheme="minorHAnsi"/>
                <w:b/>
              </w:rPr>
            </w:pPr>
            <w:r w:rsidRPr="00A913FE">
              <w:rPr>
                <w:rFonts w:cstheme="minorHAnsi"/>
                <w:b/>
              </w:rPr>
              <w:t>Knowledge and Skills Statements</w:t>
            </w:r>
          </w:p>
        </w:tc>
        <w:tc>
          <w:tcPr>
            <w:tcW w:w="2836" w:type="dxa"/>
          </w:tcPr>
          <w:p w:rsidR="00A913FE" w:rsidRPr="00A913FE" w:rsidRDefault="00A913FE" w:rsidP="0080687F">
            <w:pPr>
              <w:jc w:val="center"/>
              <w:rPr>
                <w:rFonts w:cstheme="minorHAnsi"/>
                <w:b/>
              </w:rPr>
            </w:pPr>
            <w:r w:rsidRPr="00A913FE">
              <w:rPr>
                <w:rFonts w:cstheme="minorHAnsi"/>
                <w:b/>
              </w:rPr>
              <w:t>Student Expectation</w:t>
            </w:r>
          </w:p>
        </w:tc>
        <w:tc>
          <w:tcPr>
            <w:tcW w:w="4686" w:type="dxa"/>
          </w:tcPr>
          <w:p w:rsidR="00A913FE" w:rsidRPr="00A913FE" w:rsidRDefault="00A913FE" w:rsidP="0080687F">
            <w:pPr>
              <w:jc w:val="center"/>
              <w:rPr>
                <w:rFonts w:cstheme="minorHAnsi"/>
                <w:b/>
              </w:rPr>
            </w:pPr>
            <w:r w:rsidRPr="00A913FE">
              <w:rPr>
                <w:rFonts w:cstheme="minorHAnsi"/>
                <w:b/>
              </w:rPr>
              <w:t>Biography</w:t>
            </w:r>
          </w:p>
        </w:tc>
      </w:tr>
      <w:tr w:rsidR="00A913FE" w:rsidTr="00A913FE">
        <w:tc>
          <w:tcPr>
            <w:tcW w:w="2054" w:type="dxa"/>
          </w:tcPr>
          <w:p w:rsidR="00A913FE" w:rsidRPr="003A1340" w:rsidRDefault="00A913FE" w:rsidP="0080687F">
            <w:r w:rsidRPr="003A1340">
              <w:t xml:space="preserve">(US.10) </w:t>
            </w:r>
            <w:r w:rsidRPr="003A1340">
              <w:rPr>
                <w:b/>
                <w:color w:val="008000"/>
                <w:sz w:val="23"/>
                <w:szCs w:val="23"/>
              </w:rPr>
              <w:t>History</w:t>
            </w:r>
            <w:r w:rsidRPr="003A1340">
              <w:rPr>
                <w:color w:val="008000"/>
                <w:sz w:val="23"/>
                <w:szCs w:val="23"/>
              </w:rPr>
              <w:t>. The student understands the impact of political, economic, and social factors in the U.S. role in the world from the 1970s through 1990.</w:t>
            </w:r>
          </w:p>
        </w:tc>
        <w:tc>
          <w:tcPr>
            <w:tcW w:w="2836" w:type="dxa"/>
          </w:tcPr>
          <w:p w:rsidR="00A913FE" w:rsidRPr="003A1340" w:rsidRDefault="00A913FE" w:rsidP="0080687F">
            <w:pPr>
              <w:pStyle w:val="Default"/>
              <w:pageBreakBefore/>
              <w:rPr>
                <w:rFonts w:ascii="Calibri" w:hAnsi="Calibri"/>
                <w:sz w:val="22"/>
                <w:szCs w:val="22"/>
              </w:rPr>
            </w:pPr>
            <w:r w:rsidRPr="003A1340">
              <w:rPr>
                <w:rFonts w:ascii="Calibri" w:hAnsi="Calibri"/>
                <w:sz w:val="22"/>
                <w:szCs w:val="22"/>
              </w:rPr>
              <w:t xml:space="preserve">A. </w:t>
            </w:r>
            <w:r w:rsidRPr="003A1340">
              <w:rPr>
                <w:rFonts w:ascii="Calibri" w:hAnsi="Calibri"/>
                <w:color w:val="008000"/>
                <w:sz w:val="22"/>
                <w:szCs w:val="22"/>
              </w:rPr>
              <w:t xml:space="preserve">Describe Richard M. Nixon’s </w:t>
            </w:r>
            <w:r w:rsidRPr="003A1340">
              <w:rPr>
                <w:rFonts w:ascii="Calibri" w:hAnsi="Calibri"/>
                <w:color w:val="006EC0"/>
                <w:sz w:val="22"/>
                <w:szCs w:val="22"/>
              </w:rPr>
              <w:t>leadership</w:t>
            </w:r>
            <w:r w:rsidRPr="003A1340">
              <w:rPr>
                <w:rFonts w:ascii="Calibri" w:hAnsi="Calibri"/>
                <w:color w:val="008000"/>
                <w:sz w:val="22"/>
                <w:szCs w:val="22"/>
              </w:rPr>
              <w:t xml:space="preserve"> in the normalization of relations with China and the policy of détente; </w:t>
            </w:r>
          </w:p>
          <w:p w:rsidR="00A913FE" w:rsidRPr="003A1340" w:rsidRDefault="00A913FE" w:rsidP="0080687F"/>
        </w:tc>
        <w:tc>
          <w:tcPr>
            <w:tcW w:w="4686" w:type="dxa"/>
          </w:tcPr>
          <w:p w:rsidR="00A913FE" w:rsidRPr="003A1340" w:rsidRDefault="00A913FE" w:rsidP="0080687F">
            <w:r w:rsidRPr="003A1340">
              <w:rPr>
                <w:b/>
              </w:rPr>
              <w:t xml:space="preserve">Richard M. Nixon (1969-1974) </w:t>
            </w:r>
            <w:r w:rsidRPr="003A1340">
              <w:t>Nixon</w:t>
            </w:r>
            <w:r w:rsidRPr="003A1340">
              <w:rPr>
                <w:b/>
              </w:rPr>
              <w:t xml:space="preserve"> </w:t>
            </w:r>
            <w:r w:rsidRPr="003A1340">
              <w:t>was 37</w:t>
            </w:r>
            <w:r w:rsidRPr="003A1340">
              <w:rPr>
                <w:vertAlign w:val="superscript"/>
              </w:rPr>
              <w:t>th</w:t>
            </w:r>
            <w:r w:rsidRPr="003A1340">
              <w:t xml:space="preserve"> President of the United States,</w:t>
            </w:r>
            <w:r w:rsidRPr="003A1340">
              <w:rPr>
                <w:b/>
              </w:rPr>
              <w:t xml:space="preserve"> </w:t>
            </w:r>
            <w:r w:rsidRPr="003A1340">
              <w:t>succeeded in ending American fighting in Viet Nam and improving relations with the U.S.S.R. and China. But the Watergate scandal brought fresh divisions to the country and ultimately led to his resignation.</w:t>
            </w:r>
          </w:p>
        </w:tc>
      </w:tr>
      <w:tr w:rsidR="00A913FE" w:rsidTr="00A913FE">
        <w:tc>
          <w:tcPr>
            <w:tcW w:w="2054" w:type="dxa"/>
          </w:tcPr>
          <w:p w:rsidR="00A913FE" w:rsidRDefault="00A913FE"/>
        </w:tc>
        <w:tc>
          <w:tcPr>
            <w:tcW w:w="2836" w:type="dxa"/>
          </w:tcPr>
          <w:p w:rsidR="00A913FE" w:rsidRPr="003A1340" w:rsidRDefault="00A913FE" w:rsidP="0080687F">
            <w:pPr>
              <w:pStyle w:val="Default"/>
              <w:rPr>
                <w:rFonts w:ascii="Calibri" w:hAnsi="Calibri"/>
                <w:color w:val="006EC0"/>
                <w:sz w:val="23"/>
                <w:szCs w:val="23"/>
              </w:rPr>
            </w:pPr>
            <w:r w:rsidRPr="003A1340">
              <w:rPr>
                <w:rFonts w:ascii="Calibri" w:hAnsi="Calibri"/>
                <w:sz w:val="22"/>
                <w:szCs w:val="22"/>
              </w:rPr>
              <w:t xml:space="preserve">E. </w:t>
            </w:r>
            <w:r w:rsidRPr="003A1340">
              <w:rPr>
                <w:rFonts w:ascii="Calibri" w:hAnsi="Calibri"/>
                <w:color w:val="006EC0"/>
                <w:sz w:val="23"/>
                <w:szCs w:val="23"/>
              </w:rPr>
              <w:t xml:space="preserve">Describe the causes, key organizations, and individuals of the conservative resurgence of the 1980s and 1990s, including Phyllis </w:t>
            </w:r>
            <w:proofErr w:type="spellStart"/>
            <w:r w:rsidRPr="003A1340">
              <w:rPr>
                <w:rFonts w:ascii="Calibri" w:hAnsi="Calibri"/>
                <w:color w:val="006EC0"/>
                <w:sz w:val="23"/>
                <w:szCs w:val="23"/>
              </w:rPr>
              <w:t>Schlafly</w:t>
            </w:r>
            <w:proofErr w:type="spellEnd"/>
            <w:r w:rsidRPr="003A1340">
              <w:rPr>
                <w:rFonts w:ascii="Calibri" w:hAnsi="Calibri"/>
                <w:color w:val="006EC0"/>
                <w:sz w:val="23"/>
                <w:szCs w:val="23"/>
              </w:rPr>
              <w:t xml:space="preserve">, the Contract with America, the Heritage Foundation, the Moral Majority, and the National Rifle Association; and </w:t>
            </w:r>
          </w:p>
          <w:p w:rsidR="00A913FE" w:rsidRPr="003A1340" w:rsidRDefault="00A913FE" w:rsidP="0080687F">
            <w:pPr>
              <w:pStyle w:val="Default"/>
              <w:pageBreakBefore/>
              <w:rPr>
                <w:rFonts w:ascii="Calibri" w:hAnsi="Calibri"/>
                <w:sz w:val="22"/>
                <w:szCs w:val="22"/>
              </w:rPr>
            </w:pPr>
          </w:p>
        </w:tc>
        <w:tc>
          <w:tcPr>
            <w:tcW w:w="4686" w:type="dxa"/>
          </w:tcPr>
          <w:p w:rsidR="00A913FE" w:rsidRPr="003A1340" w:rsidRDefault="00A913FE" w:rsidP="0080687F">
            <w:pPr>
              <w:rPr>
                <w:b/>
              </w:rPr>
            </w:pPr>
            <w:r w:rsidRPr="003A1340">
              <w:rPr>
                <w:b/>
              </w:rPr>
              <w:t xml:space="preserve">Phyllis </w:t>
            </w:r>
            <w:proofErr w:type="spellStart"/>
            <w:r w:rsidRPr="003A1340">
              <w:rPr>
                <w:b/>
              </w:rPr>
              <w:t>Schlafly</w:t>
            </w:r>
            <w:proofErr w:type="spellEnd"/>
            <w:r w:rsidRPr="003A1340">
              <w:rPr>
                <w:b/>
              </w:rPr>
              <w:t xml:space="preserve"> (1924- ) </w:t>
            </w:r>
            <w:r w:rsidRPr="003A1340">
              <w:t xml:space="preserve">American author and political activist, known for her opposition to the women's liberation movement. In the 1970s and early 1980s, </w:t>
            </w:r>
            <w:proofErr w:type="spellStart"/>
            <w:r w:rsidRPr="003A1340">
              <w:t>Schlafly</w:t>
            </w:r>
            <w:proofErr w:type="spellEnd"/>
            <w:r w:rsidRPr="003A1340">
              <w:t xml:space="preserve"> campaigned against the proposed Equal Rights Amendment (ERA). The amendment called for men and women to be given equal treatment under the law. </w:t>
            </w:r>
            <w:proofErr w:type="spellStart"/>
            <w:r w:rsidRPr="003A1340">
              <w:t>Schlafly</w:t>
            </w:r>
            <w:proofErr w:type="spellEnd"/>
            <w:r w:rsidRPr="003A1340">
              <w:t xml:space="preserve"> opposed the ERA because it would require women to serve in combat, and because she believed it would take away legal rights of wives and would negatively influence family life. </w:t>
            </w:r>
            <w:proofErr w:type="spellStart"/>
            <w:r w:rsidRPr="003A1340">
              <w:t>Schlafly</w:t>
            </w:r>
            <w:proofErr w:type="spellEnd"/>
            <w:r w:rsidRPr="003A1340">
              <w:t xml:space="preserve"> also argued that the amendment would lead to unisex restrooms. She became a leading opponent of the ERA through her lobbying organizations, Stop ERA and Eagle Forum, and by testifying against the ERA before 30 state legislatures. The ERA was defeated in 1982, and </w:t>
            </w:r>
            <w:proofErr w:type="spellStart"/>
            <w:r w:rsidRPr="003A1340">
              <w:t>Schlafly</w:t>
            </w:r>
            <w:proofErr w:type="spellEnd"/>
            <w:r w:rsidRPr="003A1340">
              <w:t xml:space="preserve"> continued to lead her Eagle Forum organization in campaigns advocating conservative issues.</w:t>
            </w:r>
          </w:p>
        </w:tc>
      </w:tr>
      <w:tr w:rsidR="00AE5C5B" w:rsidTr="00AE5C5B">
        <w:tc>
          <w:tcPr>
            <w:tcW w:w="2054" w:type="dxa"/>
          </w:tcPr>
          <w:p w:rsidR="00AE5C5B" w:rsidRDefault="00AE5C5B"/>
        </w:tc>
        <w:tc>
          <w:tcPr>
            <w:tcW w:w="2836" w:type="dxa"/>
          </w:tcPr>
          <w:p w:rsidR="00AE5C5B" w:rsidRDefault="00AE5C5B"/>
        </w:tc>
        <w:tc>
          <w:tcPr>
            <w:tcW w:w="4686" w:type="dxa"/>
          </w:tcPr>
          <w:p w:rsidR="00AE5C5B" w:rsidRPr="001A70E0" w:rsidRDefault="00AE5C5B" w:rsidP="0080687F">
            <w:pPr>
              <w:pStyle w:val="NormalWeb"/>
            </w:pPr>
            <w:r w:rsidRPr="003A1340">
              <w:rPr>
                <w:rFonts w:ascii="Calibri" w:hAnsi="Calibri"/>
                <w:b/>
                <w:sz w:val="22"/>
              </w:rPr>
              <w:t>Tinker v. Des Moines (1969)</w:t>
            </w:r>
            <w:r w:rsidRPr="003A1340">
              <w:rPr>
                <w:b/>
                <w:sz w:val="22"/>
              </w:rPr>
              <w:t xml:space="preserve"> </w:t>
            </w:r>
            <w:r w:rsidRPr="003A1340">
              <w:rPr>
                <w:rFonts w:ascii="Calibri" w:hAnsi="Calibri"/>
                <w:sz w:val="22"/>
              </w:rPr>
              <w:t>In 1965, John Tinker, his sister Mary Beth, and a friend were sent home from school for wearing black armbands to protest the Vietnam War. The school had established a policy permitting students to wear several political symbols, but had excluded the wearing of armbands protesting the Vietnam War. Their fathers sued, but the District Court ruled that the school had not violated the Constitution. The Court of Appeals agreed with the lower court, and the Tinkers appealed to the Supreme Court.</w:t>
            </w:r>
            <w:r>
              <w:t xml:space="preserve"> </w:t>
            </w:r>
            <w:r w:rsidRPr="003A1340">
              <w:rPr>
                <w:rFonts w:ascii="Calibri" w:hAnsi="Calibri"/>
                <w:i/>
                <w:iCs/>
                <w:sz w:val="22"/>
              </w:rPr>
              <w:t>Tinker</w:t>
            </w:r>
            <w:r w:rsidRPr="003A1340">
              <w:rPr>
                <w:rFonts w:ascii="Calibri" w:hAnsi="Calibri"/>
                <w:sz w:val="22"/>
              </w:rPr>
              <w:t xml:space="preserve"> was the first Supreme </w:t>
            </w:r>
            <w:r w:rsidRPr="003A1340">
              <w:rPr>
                <w:rFonts w:ascii="Calibri" w:hAnsi="Calibri"/>
                <w:sz w:val="22"/>
              </w:rPr>
              <w:lastRenderedPageBreak/>
              <w:t>Court ruling that specifically provided protection for students’ First Amendment rights. The key: “Material and substantial disruption of school activities or invasion of the rights of other students” must be proved if student expression is to be controlled. School officials could censor only when they could show that the expression would disrupt the school environment or invade the rights of other students.</w:t>
            </w:r>
          </w:p>
        </w:tc>
      </w:tr>
      <w:tr w:rsidR="00AE5C5B" w:rsidTr="00AE5C5B">
        <w:tc>
          <w:tcPr>
            <w:tcW w:w="2054" w:type="dxa"/>
          </w:tcPr>
          <w:p w:rsidR="00AE5C5B" w:rsidRDefault="00AE5C5B"/>
        </w:tc>
        <w:tc>
          <w:tcPr>
            <w:tcW w:w="2836" w:type="dxa"/>
          </w:tcPr>
          <w:p w:rsidR="00AE5C5B" w:rsidRDefault="00AE5C5B"/>
        </w:tc>
        <w:tc>
          <w:tcPr>
            <w:tcW w:w="4686" w:type="dxa"/>
          </w:tcPr>
          <w:p w:rsidR="00AE5C5B" w:rsidRPr="003A1340" w:rsidRDefault="00AE5C5B" w:rsidP="0080687F">
            <w:r w:rsidRPr="003A1340">
              <w:rPr>
                <w:b/>
              </w:rPr>
              <w:t xml:space="preserve">Wisconsin v. Yoder (1972) </w:t>
            </w:r>
            <w:r w:rsidRPr="003A1340">
              <w:t xml:space="preserve">Jonas Yoder and Wallace Miller, both members of the Old Order Amish religion, and </w:t>
            </w:r>
            <w:proofErr w:type="spellStart"/>
            <w:r w:rsidRPr="003A1340">
              <w:t>Adin</w:t>
            </w:r>
            <w:proofErr w:type="spellEnd"/>
            <w:r w:rsidRPr="003A1340">
              <w:t xml:space="preserve"> </w:t>
            </w:r>
            <w:proofErr w:type="spellStart"/>
            <w:r w:rsidRPr="003A1340">
              <w:t>Yutzy</w:t>
            </w:r>
            <w:proofErr w:type="spellEnd"/>
            <w:r w:rsidRPr="003A1340">
              <w:t>, a member of the Conservative Amish Mennonite Church, were prosecuted under a Wisconsin law that required all children to attend public schools until age 16. The three parents refused to send their children to such schools after the eighth grade, arguing that high school attendance was contrary to their religious beliefs. In a unanimous decision, the Court held that individual's interests in the free exercise of religion under the First Amendment outweighed the State's interests in compelling school attendance beyond the eighth grade.</w:t>
            </w:r>
          </w:p>
        </w:tc>
      </w:tr>
      <w:tr w:rsidR="00AE5C5B" w:rsidTr="00AE5C5B">
        <w:tc>
          <w:tcPr>
            <w:tcW w:w="2054" w:type="dxa"/>
          </w:tcPr>
          <w:p w:rsidR="00AE5C5B" w:rsidRDefault="00AE5C5B"/>
        </w:tc>
        <w:tc>
          <w:tcPr>
            <w:tcW w:w="2836" w:type="dxa"/>
          </w:tcPr>
          <w:p w:rsidR="00AE5C5B" w:rsidRDefault="00AE5C5B"/>
        </w:tc>
        <w:tc>
          <w:tcPr>
            <w:tcW w:w="4686" w:type="dxa"/>
          </w:tcPr>
          <w:p w:rsidR="00AE5C5B" w:rsidRPr="00DC59BB" w:rsidRDefault="00AE5C5B" w:rsidP="0080687F">
            <w:pPr>
              <w:pStyle w:val="NormalWeb"/>
            </w:pPr>
            <w:r w:rsidRPr="003A1340">
              <w:rPr>
                <w:rFonts w:ascii="Calibri" w:hAnsi="Calibri"/>
                <w:b/>
                <w:sz w:val="22"/>
              </w:rPr>
              <w:t xml:space="preserve">White v. </w:t>
            </w:r>
            <w:proofErr w:type="spellStart"/>
            <w:r w:rsidRPr="003A1340">
              <w:rPr>
                <w:rFonts w:ascii="Calibri" w:hAnsi="Calibri"/>
                <w:b/>
                <w:sz w:val="22"/>
              </w:rPr>
              <w:t>Regester</w:t>
            </w:r>
            <w:proofErr w:type="spellEnd"/>
            <w:r w:rsidRPr="003A1340">
              <w:rPr>
                <w:rFonts w:ascii="Calibri" w:hAnsi="Calibri"/>
                <w:b/>
                <w:sz w:val="22"/>
              </w:rPr>
              <w:t xml:space="preserve"> (1973)</w:t>
            </w:r>
            <w:r w:rsidRPr="003A1340">
              <w:rPr>
                <w:b/>
                <w:sz w:val="22"/>
              </w:rPr>
              <w:t xml:space="preserve"> </w:t>
            </w:r>
            <w:r w:rsidRPr="003A1340">
              <w:rPr>
                <w:rFonts w:ascii="Calibri" w:hAnsi="Calibri"/>
                <w:sz w:val="22"/>
              </w:rPr>
              <w:t>In this litigation challenging the Texas 1970 legislative reapportionment scheme, a three-judge District Court held that the House plan, state-wide, contained constitutionally impermissible deviations from population equality, and that the multi-member districts provided for Bexar and Dallas Counties invidiously discriminated against cognizable racial or ethnic groups. Though the entire plan was declared invalid, the court permitted its use for the 1972 election except for its injunction order requiring those two county multi-member districts to be reconstituted into single member districts.</w:t>
            </w:r>
          </w:p>
        </w:tc>
      </w:tr>
    </w:tbl>
    <w:p w:rsidR="00A913FE" w:rsidRDefault="00A913FE"/>
    <w:sectPr w:rsidR="00A913FE" w:rsidSect="00066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3FE"/>
    <w:rsid w:val="0006642A"/>
    <w:rsid w:val="00A913FE"/>
    <w:rsid w:val="00AE5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13F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AE5C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2012-06-14T19:53:00Z</dcterms:created>
  <dcterms:modified xsi:type="dcterms:W3CDTF">2012-06-14T20:07:00Z</dcterms:modified>
</cp:coreProperties>
</file>